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70" w:rsidRPr="00743870" w:rsidRDefault="00743870" w:rsidP="00743870">
      <w:pPr>
        <w:spacing w:before="400" w:after="250" w:line="360" w:lineRule="atLeast"/>
        <w:outlineLvl w:val="0"/>
        <w:rPr>
          <w:rFonts w:ascii="Helvetica" w:eastAsia="Times New Roman" w:hAnsi="Helvetica" w:cs="Helvetica"/>
          <w:b/>
          <w:bCs/>
          <w:color w:val="000000"/>
          <w:kern w:val="36"/>
          <w:sz w:val="30"/>
          <w:szCs w:val="30"/>
          <w:lang w:eastAsia="ru-RU"/>
        </w:rPr>
      </w:pPr>
      <w:r w:rsidRPr="00743870">
        <w:rPr>
          <w:rFonts w:ascii="Helvetica" w:eastAsia="Times New Roman" w:hAnsi="Helvetica" w:cs="Helvetica"/>
          <w:b/>
          <w:bCs/>
          <w:color w:val="000000"/>
          <w:kern w:val="36"/>
          <w:sz w:val="30"/>
          <w:szCs w:val="30"/>
          <w:lang w:eastAsia="ru-RU"/>
        </w:rPr>
        <w:t>Медицинские требования</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Все дети по приезду в «Артек» проходят медицинский осмотр; те из них, кому противопоказано направление по состоянию здоровья, а также не имеющие полностью оформленной медицинской карты, </w:t>
      </w:r>
      <w:r w:rsidRPr="00743870">
        <w:rPr>
          <w:rFonts w:ascii="Helvetica" w:eastAsia="Times New Roman" w:hAnsi="Helvetica" w:cs="Helvetica"/>
          <w:b/>
          <w:bCs/>
          <w:color w:val="000000"/>
          <w:sz w:val="14"/>
          <w:lang w:eastAsia="ru-RU"/>
        </w:rPr>
        <w:t>ВОЗВРАЩАЮТСЯ ОБРАТНО</w:t>
      </w:r>
      <w:r w:rsidRPr="00743870">
        <w:rPr>
          <w:rFonts w:ascii="Helvetica" w:eastAsia="Times New Roman" w:hAnsi="Helvetica" w:cs="Helvetica"/>
          <w:color w:val="000000"/>
          <w:sz w:val="14"/>
          <w:szCs w:val="14"/>
          <w:lang w:eastAsia="ru-RU"/>
        </w:rPr>
        <w:t> с сопровождающими за счет организации или лица, направившего их в «Артек», с сообщением в адрес медицинского учреждения, заполнившего медицинскую карту.</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hyperlink r:id="rId5" w:tgtFrame="_blank" w:history="1">
        <w:r w:rsidRPr="00743870">
          <w:rPr>
            <w:rFonts w:ascii="Helvetica" w:eastAsia="Times New Roman" w:hAnsi="Helvetica" w:cs="Helvetica"/>
            <w:color w:val="2459A8"/>
            <w:sz w:val="14"/>
            <w:u w:val="single"/>
            <w:lang w:eastAsia="ru-RU"/>
          </w:rPr>
          <w:t>Медицинская карта</w:t>
        </w:r>
      </w:hyperlink>
      <w:r w:rsidRPr="00743870">
        <w:rPr>
          <w:rFonts w:ascii="Helvetica" w:eastAsia="Times New Roman" w:hAnsi="Helvetica" w:cs="Helvetica"/>
          <w:color w:val="000000"/>
          <w:sz w:val="14"/>
          <w:szCs w:val="14"/>
          <w:lang w:eastAsia="ru-RU"/>
        </w:rPr>
        <w:t>  заполняется врачом-педиатром или врачом подросткового кабинета с комплексной оценкой состояния здоровья ребенка.</w:t>
      </w:r>
      <w:r w:rsidRPr="00743870">
        <w:rPr>
          <w:rFonts w:ascii="Helvetica" w:eastAsia="Times New Roman" w:hAnsi="Helvetica" w:cs="Helvetica"/>
          <w:color w:val="000000"/>
          <w:sz w:val="14"/>
          <w:lang w:eastAsia="ru-RU"/>
        </w:rPr>
        <w:t> </w:t>
      </w:r>
      <w:hyperlink r:id="rId6" w:tgtFrame="_blank" w:history="1">
        <w:r w:rsidRPr="00743870">
          <w:rPr>
            <w:rFonts w:ascii="Helvetica" w:eastAsia="Times New Roman" w:hAnsi="Helvetica" w:cs="Helvetica"/>
            <w:color w:val="2459A8"/>
            <w:sz w:val="14"/>
            <w:u w:val="single"/>
            <w:lang w:eastAsia="ru-RU"/>
          </w:rPr>
          <w:t>Образец заполненной медкарты</w:t>
        </w:r>
      </w:hyperlink>
      <w:r w:rsidRPr="00743870">
        <w:rPr>
          <w:rFonts w:ascii="Helvetica" w:eastAsia="Times New Roman" w:hAnsi="Helvetica" w:cs="Helvetica"/>
          <w:color w:val="000000"/>
          <w:sz w:val="14"/>
          <w:szCs w:val="14"/>
          <w:lang w:eastAsia="ru-RU"/>
        </w:rPr>
        <w:t>.</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Информированное добровольное согласие на медицинское вмешательство является обязательным медицинским документом, поэтому без него документы приниматься не будут.</w:t>
      </w:r>
      <w:r w:rsidRPr="00743870">
        <w:rPr>
          <w:rFonts w:ascii="Helvetica" w:eastAsia="Times New Roman" w:hAnsi="Helvetica" w:cs="Helvetica"/>
          <w:color w:val="000000"/>
          <w:sz w:val="14"/>
          <w:lang w:eastAsia="ru-RU"/>
        </w:rPr>
        <w:t> </w:t>
      </w:r>
      <w:hyperlink r:id="rId7" w:tgtFrame="_blank" w:history="1">
        <w:r w:rsidRPr="00743870">
          <w:rPr>
            <w:rFonts w:ascii="Helvetica" w:eastAsia="Times New Roman" w:hAnsi="Helvetica" w:cs="Helvetica"/>
            <w:color w:val="2459A8"/>
            <w:sz w:val="14"/>
            <w:u w:val="single"/>
            <w:lang w:eastAsia="ru-RU"/>
          </w:rPr>
          <w:t>Бланк добровольного согласия на медицинское вмешательство</w:t>
        </w:r>
      </w:hyperlink>
      <w:r w:rsidRPr="00743870">
        <w:rPr>
          <w:rFonts w:ascii="Helvetica" w:eastAsia="Times New Roman" w:hAnsi="Helvetica" w:cs="Helvetica"/>
          <w:color w:val="000000"/>
          <w:sz w:val="14"/>
          <w:szCs w:val="14"/>
          <w:lang w:eastAsia="ru-RU"/>
        </w:rPr>
        <w:t>.</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Дети должны быть привиты в соответствии с возрастом и с учетом эпидемиологической ситуации в регионе проживания. Укажите, пожалуйста, если ребенок проходил лечение по поводу педикулеза, микоза, чесотки.</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r w:rsidRPr="00743870">
        <w:rPr>
          <w:rFonts w:ascii="Helvetica" w:eastAsia="Times New Roman" w:hAnsi="Helvetica" w:cs="Helvetica"/>
          <w:b/>
          <w:bCs/>
          <w:color w:val="000000"/>
          <w:sz w:val="14"/>
          <w:lang w:eastAsia="ru-RU"/>
        </w:rPr>
        <w:t>Это не является основанием для его отправки обратно, но избавит ребенка от лишней психологической травмы и дополнительных манипуляций.</w:t>
      </w:r>
    </w:p>
    <w:p w:rsidR="00743870" w:rsidRPr="00743870" w:rsidRDefault="00743870" w:rsidP="00743870">
      <w:pPr>
        <w:spacing w:before="240" w:after="120" w:line="220" w:lineRule="atLeast"/>
        <w:jc w:val="both"/>
        <w:outlineLvl w:val="2"/>
        <w:rPr>
          <w:rFonts w:ascii="Helvetica" w:eastAsia="Times New Roman" w:hAnsi="Helvetica" w:cs="Helvetica"/>
          <w:b/>
          <w:bCs/>
          <w:color w:val="000000"/>
          <w:sz w:val="18"/>
          <w:szCs w:val="18"/>
          <w:lang w:eastAsia="ru-RU"/>
        </w:rPr>
      </w:pPr>
      <w:r w:rsidRPr="00743870">
        <w:rPr>
          <w:rFonts w:ascii="Helvetica" w:eastAsia="Times New Roman" w:hAnsi="Helvetica" w:cs="Helvetica"/>
          <w:b/>
          <w:bCs/>
          <w:color w:val="000000"/>
          <w:sz w:val="18"/>
          <w:lang w:eastAsia="ru-RU"/>
        </w:rPr>
        <w:t>Абсолютными противопоказаниями для направления в «Артек» являются:</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Все заболевания в остром периоде.</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Хронические заболевания в период обострения.</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Инфекционные и паразитарные болезни, в т.ч. туберкулез.</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Инфекционные заболевания кожи (микоз, чесотка).</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Все формы педикулеза.</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Злокачественные новообразования любой локализации.</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Психические расстройства, сопровождающиеся расстройством поведения и нарушением социальной адаптации.</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Болезни органов пищеварения, сопровождающиеся значительным дефицитом веса и отставанием в физическом развитии, печеночная недостаточность.</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Болезни мочевыделительной системы с нарушением функций, почечная недостаточность.</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Системные заболевания соединительной ткани.</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Тяжелые нарушения опорно-двигательного аппарата, последствия травм, отравлений и других воздействий внешних причин, требующие индивидуальной помощи и ухода.</w:t>
      </w:r>
    </w:p>
    <w:p w:rsidR="00743870" w:rsidRPr="00743870" w:rsidRDefault="00743870" w:rsidP="00743870">
      <w:pPr>
        <w:numPr>
          <w:ilvl w:val="0"/>
          <w:numId w:val="1"/>
        </w:numPr>
        <w:spacing w:before="100" w:beforeAutospacing="1" w:after="100" w:afterAutospacing="1" w:line="200" w:lineRule="atLeast"/>
        <w:ind w:left="0"/>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Эпилепсия.</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 xml:space="preserve">Болезни системы кровообращения. </w:t>
      </w:r>
      <w:proofErr w:type="spellStart"/>
      <w:proofErr w:type="gramStart"/>
      <w:r w:rsidRPr="00743870">
        <w:rPr>
          <w:rFonts w:ascii="Helvetica" w:eastAsia="Times New Roman" w:hAnsi="Helvetica" w:cs="Helvetica"/>
          <w:color w:val="000000"/>
          <w:sz w:val="14"/>
          <w:szCs w:val="14"/>
          <w:lang w:eastAsia="ru-RU"/>
        </w:rPr>
        <w:t>Сердечно-сосудистая</w:t>
      </w:r>
      <w:proofErr w:type="spellEnd"/>
      <w:proofErr w:type="gramEnd"/>
      <w:r w:rsidRPr="00743870">
        <w:rPr>
          <w:rFonts w:ascii="Helvetica" w:eastAsia="Times New Roman" w:hAnsi="Helvetica" w:cs="Helvetica"/>
          <w:color w:val="000000"/>
          <w:sz w:val="14"/>
          <w:szCs w:val="14"/>
          <w:lang w:eastAsia="ru-RU"/>
        </w:rPr>
        <w:t xml:space="preserve"> недостаточность.</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Болезни органов дыхания. Дыхательная недостаточность.</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Болезни эндокринной системы, а также инсулинозависимый сахарный диабет.</w:t>
      </w:r>
    </w:p>
    <w:p w:rsidR="00743870" w:rsidRPr="00743870" w:rsidRDefault="00743870" w:rsidP="00743870">
      <w:pPr>
        <w:numPr>
          <w:ilvl w:val="0"/>
          <w:numId w:val="1"/>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Анемии и другие болезни крови и кроветворных органов.</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 xml:space="preserve">Необходимо учитывать способность ребенка к самообслуживанию, отсутствие противопоказаний к нагрузкам на опорно-двигательный аппарат, </w:t>
      </w:r>
      <w:proofErr w:type="spellStart"/>
      <w:proofErr w:type="gramStart"/>
      <w:r w:rsidRPr="00743870">
        <w:rPr>
          <w:rFonts w:ascii="Helvetica" w:eastAsia="Times New Roman" w:hAnsi="Helvetica" w:cs="Helvetica"/>
          <w:color w:val="000000"/>
          <w:sz w:val="14"/>
          <w:szCs w:val="14"/>
          <w:lang w:eastAsia="ru-RU"/>
        </w:rPr>
        <w:t>сердечно-сосудистую</w:t>
      </w:r>
      <w:proofErr w:type="spellEnd"/>
      <w:proofErr w:type="gramEnd"/>
      <w:r w:rsidRPr="00743870">
        <w:rPr>
          <w:rFonts w:ascii="Helvetica" w:eastAsia="Times New Roman" w:hAnsi="Helvetica" w:cs="Helvetica"/>
          <w:color w:val="000000"/>
          <w:sz w:val="14"/>
          <w:szCs w:val="14"/>
          <w:lang w:eastAsia="ru-RU"/>
        </w:rPr>
        <w:t xml:space="preserve"> систему.</w:t>
      </w:r>
    </w:p>
    <w:p w:rsidR="00743870" w:rsidRPr="00743870" w:rsidRDefault="00743870" w:rsidP="00743870">
      <w:pPr>
        <w:spacing w:before="240" w:after="120" w:line="220" w:lineRule="atLeast"/>
        <w:outlineLvl w:val="2"/>
        <w:rPr>
          <w:rFonts w:ascii="Helvetica" w:eastAsia="Times New Roman" w:hAnsi="Helvetica" w:cs="Helvetica"/>
          <w:b/>
          <w:bCs/>
          <w:color w:val="000000"/>
          <w:sz w:val="18"/>
          <w:szCs w:val="18"/>
          <w:lang w:eastAsia="ru-RU"/>
        </w:rPr>
      </w:pPr>
      <w:r w:rsidRPr="00743870">
        <w:rPr>
          <w:rFonts w:ascii="Helvetica" w:eastAsia="Times New Roman" w:hAnsi="Helvetica" w:cs="Helvetica"/>
          <w:b/>
          <w:bCs/>
          <w:color w:val="000000"/>
          <w:sz w:val="18"/>
          <w:lang w:eastAsia="ru-RU"/>
        </w:rPr>
        <w:t>Показано не ранее чем через 2 года после стихания острого процесса и при хронических заболеваниях, например:</w:t>
      </w:r>
    </w:p>
    <w:p w:rsidR="00743870" w:rsidRPr="00743870" w:rsidRDefault="00743870" w:rsidP="00743870">
      <w:pPr>
        <w:numPr>
          <w:ilvl w:val="0"/>
          <w:numId w:val="2"/>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 xml:space="preserve">при ревматизме в активном и </w:t>
      </w:r>
      <w:proofErr w:type="spellStart"/>
      <w:r w:rsidRPr="00743870">
        <w:rPr>
          <w:rFonts w:ascii="Helvetica" w:eastAsia="Times New Roman" w:hAnsi="Helvetica" w:cs="Helvetica"/>
          <w:color w:val="000000"/>
          <w:sz w:val="14"/>
          <w:szCs w:val="14"/>
          <w:lang w:eastAsia="ru-RU"/>
        </w:rPr>
        <w:t>межприступном</w:t>
      </w:r>
      <w:proofErr w:type="spellEnd"/>
      <w:r w:rsidRPr="00743870">
        <w:rPr>
          <w:rFonts w:ascii="Helvetica" w:eastAsia="Times New Roman" w:hAnsi="Helvetica" w:cs="Helvetica"/>
          <w:color w:val="000000"/>
          <w:sz w:val="14"/>
          <w:szCs w:val="14"/>
          <w:lang w:eastAsia="ru-RU"/>
        </w:rPr>
        <w:t xml:space="preserve"> периоде (до снятия с диспансерного учета);</w:t>
      </w:r>
    </w:p>
    <w:p w:rsidR="00743870" w:rsidRPr="00743870" w:rsidRDefault="00743870" w:rsidP="00743870">
      <w:pPr>
        <w:numPr>
          <w:ilvl w:val="0"/>
          <w:numId w:val="2"/>
        </w:numPr>
        <w:spacing w:before="100" w:beforeAutospacing="1" w:after="100" w:afterAutospacing="1" w:line="200" w:lineRule="atLeast"/>
        <w:ind w:left="0"/>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 xml:space="preserve">приобретенных и врожденных </w:t>
      </w:r>
      <w:proofErr w:type="gramStart"/>
      <w:r w:rsidRPr="00743870">
        <w:rPr>
          <w:rFonts w:ascii="Helvetica" w:eastAsia="Times New Roman" w:hAnsi="Helvetica" w:cs="Helvetica"/>
          <w:color w:val="000000"/>
          <w:sz w:val="14"/>
          <w:szCs w:val="14"/>
          <w:lang w:eastAsia="ru-RU"/>
        </w:rPr>
        <w:t>пороках</w:t>
      </w:r>
      <w:proofErr w:type="gramEnd"/>
      <w:r w:rsidRPr="00743870">
        <w:rPr>
          <w:rFonts w:ascii="Helvetica" w:eastAsia="Times New Roman" w:hAnsi="Helvetica" w:cs="Helvetica"/>
          <w:color w:val="000000"/>
          <w:sz w:val="14"/>
          <w:szCs w:val="14"/>
          <w:lang w:eastAsia="ru-RU"/>
        </w:rPr>
        <w:t xml:space="preserve"> сердца и сосудов, в том числе оперированных;</w:t>
      </w:r>
    </w:p>
    <w:p w:rsidR="00743870" w:rsidRPr="00743870" w:rsidRDefault="00743870" w:rsidP="00743870">
      <w:pPr>
        <w:numPr>
          <w:ilvl w:val="0"/>
          <w:numId w:val="2"/>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гипертонической болезни;</w:t>
      </w:r>
    </w:p>
    <w:p w:rsidR="00743870" w:rsidRPr="00743870" w:rsidRDefault="00743870" w:rsidP="00743870">
      <w:pPr>
        <w:numPr>
          <w:ilvl w:val="0"/>
          <w:numId w:val="2"/>
        </w:numPr>
        <w:spacing w:before="100" w:beforeAutospacing="1" w:after="100" w:afterAutospacing="1" w:line="200" w:lineRule="atLeast"/>
        <w:ind w:left="0"/>
        <w:rPr>
          <w:rFonts w:ascii="Helvetica" w:eastAsia="Times New Roman" w:hAnsi="Helvetica" w:cs="Helvetica"/>
          <w:color w:val="000000"/>
          <w:sz w:val="14"/>
          <w:szCs w:val="14"/>
          <w:lang w:eastAsia="ru-RU"/>
        </w:rPr>
      </w:pPr>
      <w:proofErr w:type="gramStart"/>
      <w:r w:rsidRPr="00743870">
        <w:rPr>
          <w:rFonts w:ascii="Helvetica" w:eastAsia="Times New Roman" w:hAnsi="Helvetica" w:cs="Helvetica"/>
          <w:color w:val="000000"/>
          <w:sz w:val="14"/>
          <w:szCs w:val="14"/>
          <w:lang w:eastAsia="ru-RU"/>
        </w:rPr>
        <w:t>заболеваниях</w:t>
      </w:r>
      <w:proofErr w:type="gramEnd"/>
      <w:r w:rsidRPr="00743870">
        <w:rPr>
          <w:rFonts w:ascii="Helvetica" w:eastAsia="Times New Roman" w:hAnsi="Helvetica" w:cs="Helvetica"/>
          <w:color w:val="000000"/>
          <w:sz w:val="14"/>
          <w:szCs w:val="14"/>
          <w:lang w:eastAsia="ru-RU"/>
        </w:rPr>
        <w:t xml:space="preserve"> крови и кроветворных органов;</w:t>
      </w:r>
    </w:p>
    <w:p w:rsidR="00743870" w:rsidRPr="00743870" w:rsidRDefault="00743870" w:rsidP="00743870">
      <w:pPr>
        <w:numPr>
          <w:ilvl w:val="0"/>
          <w:numId w:val="2"/>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хронических заболевания легких;</w:t>
      </w:r>
    </w:p>
    <w:p w:rsidR="00743870" w:rsidRPr="00743870" w:rsidRDefault="00743870" w:rsidP="00743870">
      <w:pPr>
        <w:numPr>
          <w:ilvl w:val="0"/>
          <w:numId w:val="2"/>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язвенной болезни желудка и двенадцатиперстной кишки;</w:t>
      </w:r>
    </w:p>
    <w:p w:rsidR="00743870" w:rsidRPr="00743870" w:rsidRDefault="00743870" w:rsidP="00743870">
      <w:pPr>
        <w:numPr>
          <w:ilvl w:val="0"/>
          <w:numId w:val="2"/>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 xml:space="preserve">остром и хроническом </w:t>
      </w:r>
      <w:proofErr w:type="gramStart"/>
      <w:r w:rsidRPr="00743870">
        <w:rPr>
          <w:rFonts w:ascii="Helvetica" w:eastAsia="Times New Roman" w:hAnsi="Helvetica" w:cs="Helvetica"/>
          <w:color w:val="000000"/>
          <w:sz w:val="14"/>
          <w:szCs w:val="14"/>
          <w:lang w:eastAsia="ru-RU"/>
        </w:rPr>
        <w:t>нефрите</w:t>
      </w:r>
      <w:proofErr w:type="gramEnd"/>
      <w:r w:rsidRPr="00743870">
        <w:rPr>
          <w:rFonts w:ascii="Helvetica" w:eastAsia="Times New Roman" w:hAnsi="Helvetica" w:cs="Helvetica"/>
          <w:color w:val="000000"/>
          <w:sz w:val="14"/>
          <w:szCs w:val="14"/>
          <w:lang w:eastAsia="ru-RU"/>
        </w:rPr>
        <w:t xml:space="preserve">, </w:t>
      </w:r>
      <w:proofErr w:type="spellStart"/>
      <w:r w:rsidRPr="00743870">
        <w:rPr>
          <w:rFonts w:ascii="Helvetica" w:eastAsia="Times New Roman" w:hAnsi="Helvetica" w:cs="Helvetica"/>
          <w:color w:val="000000"/>
          <w:sz w:val="14"/>
          <w:szCs w:val="14"/>
          <w:lang w:eastAsia="ru-RU"/>
        </w:rPr>
        <w:t>почечно-каменной</w:t>
      </w:r>
      <w:proofErr w:type="spellEnd"/>
      <w:r w:rsidRPr="00743870">
        <w:rPr>
          <w:rFonts w:ascii="Helvetica" w:eastAsia="Times New Roman" w:hAnsi="Helvetica" w:cs="Helvetica"/>
          <w:color w:val="000000"/>
          <w:sz w:val="14"/>
          <w:szCs w:val="14"/>
          <w:lang w:eastAsia="ru-RU"/>
        </w:rPr>
        <w:t xml:space="preserve"> болезни, врожденных аномалиях почек, сопровождающихся нарушением их функции.</w:t>
      </w:r>
    </w:p>
    <w:p w:rsidR="00743870" w:rsidRPr="00743870" w:rsidRDefault="00743870" w:rsidP="00743870">
      <w:pPr>
        <w:spacing w:before="240" w:after="120" w:line="220" w:lineRule="atLeast"/>
        <w:outlineLvl w:val="2"/>
        <w:rPr>
          <w:rFonts w:ascii="Helvetica" w:eastAsia="Times New Roman" w:hAnsi="Helvetica" w:cs="Helvetica"/>
          <w:b/>
          <w:bCs/>
          <w:color w:val="000000"/>
          <w:sz w:val="18"/>
          <w:szCs w:val="18"/>
          <w:lang w:eastAsia="ru-RU"/>
        </w:rPr>
      </w:pPr>
      <w:r w:rsidRPr="00743870">
        <w:rPr>
          <w:rFonts w:ascii="Helvetica" w:eastAsia="Times New Roman" w:hAnsi="Helvetica" w:cs="Helvetica"/>
          <w:b/>
          <w:bCs/>
          <w:color w:val="000000"/>
          <w:sz w:val="18"/>
          <w:lang w:eastAsia="ru-RU"/>
        </w:rPr>
        <w:t>Показано только после клинической ремиссии:</w:t>
      </w:r>
    </w:p>
    <w:p w:rsidR="00743870" w:rsidRPr="00743870" w:rsidRDefault="00743870" w:rsidP="00743870">
      <w:pPr>
        <w:numPr>
          <w:ilvl w:val="0"/>
          <w:numId w:val="3"/>
        </w:numPr>
        <w:spacing w:before="100" w:beforeAutospacing="1" w:after="100" w:afterAutospacing="1" w:line="200" w:lineRule="atLeast"/>
        <w:ind w:left="0"/>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при всех, в т.ч. не перечисленных выше заболеваниях в остром периоде;</w:t>
      </w:r>
    </w:p>
    <w:p w:rsidR="00743870" w:rsidRPr="00743870" w:rsidRDefault="00743870" w:rsidP="00743870">
      <w:pPr>
        <w:numPr>
          <w:ilvl w:val="0"/>
          <w:numId w:val="3"/>
        </w:numPr>
        <w:spacing w:before="100" w:beforeAutospacing="1" w:after="100" w:afterAutospacing="1" w:line="200" w:lineRule="atLeast"/>
        <w:ind w:left="0"/>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всех инфекционных паразитарных заболеваниях, в т.ч. кожи (чесотка, грибковые поражения и др.).</w:t>
      </w:r>
    </w:p>
    <w:p w:rsidR="00743870" w:rsidRPr="00743870" w:rsidRDefault="00743870" w:rsidP="00743870">
      <w:pPr>
        <w:numPr>
          <w:ilvl w:val="0"/>
          <w:numId w:val="3"/>
        </w:numPr>
        <w:spacing w:before="100" w:beforeAutospacing="1" w:after="100" w:afterAutospacing="1" w:line="200" w:lineRule="atLeast"/>
        <w:ind w:left="0"/>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 xml:space="preserve">при направлении </w:t>
      </w:r>
      <w:proofErr w:type="spellStart"/>
      <w:r w:rsidRPr="00743870">
        <w:rPr>
          <w:rFonts w:ascii="Helvetica" w:eastAsia="Times New Roman" w:hAnsi="Helvetica" w:cs="Helvetica"/>
          <w:color w:val="000000"/>
          <w:sz w:val="14"/>
          <w:szCs w:val="14"/>
          <w:lang w:eastAsia="ru-RU"/>
        </w:rPr>
        <w:t>реконвалесцентов</w:t>
      </w:r>
      <w:proofErr w:type="spellEnd"/>
      <w:r w:rsidRPr="00743870">
        <w:rPr>
          <w:rFonts w:ascii="Helvetica" w:eastAsia="Times New Roman" w:hAnsi="Helvetica" w:cs="Helvetica"/>
          <w:color w:val="000000"/>
          <w:sz w:val="14"/>
          <w:szCs w:val="14"/>
          <w:lang w:eastAsia="ru-RU"/>
        </w:rPr>
        <w:t xml:space="preserve"> после инфекционных заболеваний руководствоваться соответствующими приказами Министерства здравоохранения.</w:t>
      </w:r>
    </w:p>
    <w:p w:rsidR="00743870" w:rsidRPr="00743870" w:rsidRDefault="00743870" w:rsidP="00743870">
      <w:pPr>
        <w:spacing w:line="200" w:lineRule="atLeast"/>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Дети, пораженные педикулезом, должны пройти санобработку.</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В случае болезни ребенка, «Артек» обеспечивает его питанием и медицинским обслуживанием до выздоровления вне зависимости от срока окончания смены. По согласованию с родителями и сопровождающими, ребенок может быть направлен домой. Ребенок обеспечивается медикаментами до прибытия к месту жительства.</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lastRenderedPageBreak/>
        <w:t>Время и условия отправки ребенка после выздоровления согласовываются с организацией, отправившей ребенка в «Артек», и родителями. В случае досрочного выезда ребенка из «Артека», оставшаяся от стоимости путевки сумма денег возврату не подлежит.</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 xml:space="preserve">Во время медицинского осмотра детей на базе – гостинице «Артек» </w:t>
      </w:r>
      <w:proofErr w:type="gramStart"/>
      <w:r w:rsidRPr="00743870">
        <w:rPr>
          <w:rFonts w:ascii="Helvetica" w:eastAsia="Times New Roman" w:hAnsi="Helvetica" w:cs="Helvetica"/>
          <w:color w:val="000000"/>
          <w:sz w:val="14"/>
          <w:szCs w:val="14"/>
          <w:lang w:eastAsia="ru-RU"/>
        </w:rPr>
        <w:t>г</w:t>
      </w:r>
      <w:proofErr w:type="gramEnd"/>
      <w:r w:rsidRPr="00743870">
        <w:rPr>
          <w:rFonts w:ascii="Helvetica" w:eastAsia="Times New Roman" w:hAnsi="Helvetica" w:cs="Helvetica"/>
          <w:color w:val="000000"/>
          <w:sz w:val="14"/>
          <w:szCs w:val="14"/>
          <w:lang w:eastAsia="ru-RU"/>
        </w:rPr>
        <w:t>. Симферополя сопровождающие лица должны подавать в медицинскую комнату документы, сложенные следующим образом, в каждую медицинскую карту вкладываются:</w:t>
      </w:r>
    </w:p>
    <w:p w:rsidR="00743870" w:rsidRPr="00743870" w:rsidRDefault="00743870" w:rsidP="00743870">
      <w:pPr>
        <w:numPr>
          <w:ilvl w:val="0"/>
          <w:numId w:val="4"/>
        </w:numPr>
        <w:spacing w:before="100" w:beforeAutospacing="1" w:after="100" w:afterAutospacing="1" w:line="200" w:lineRule="atLeast"/>
        <w:ind w:left="0"/>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все справки;</w:t>
      </w:r>
    </w:p>
    <w:p w:rsidR="00743870" w:rsidRPr="00743870" w:rsidRDefault="00743870" w:rsidP="00743870">
      <w:pPr>
        <w:numPr>
          <w:ilvl w:val="0"/>
          <w:numId w:val="4"/>
        </w:numPr>
        <w:spacing w:before="100" w:beforeAutospacing="1" w:after="100" w:afterAutospacing="1" w:line="200" w:lineRule="atLeast"/>
        <w:ind w:left="0"/>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один экземпляр ксерокопии полиса обязательного медицинского страхования;</w:t>
      </w:r>
    </w:p>
    <w:p w:rsidR="00743870" w:rsidRPr="00743870" w:rsidRDefault="00743870" w:rsidP="00743870">
      <w:pPr>
        <w:numPr>
          <w:ilvl w:val="0"/>
          <w:numId w:val="4"/>
        </w:numPr>
        <w:spacing w:before="100" w:beforeAutospacing="1" w:after="100" w:afterAutospacing="1" w:line="200" w:lineRule="atLeast"/>
        <w:ind w:left="0"/>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один экземпляр ксерокопии паспорта или свидетельства о рождении;</w:t>
      </w:r>
    </w:p>
    <w:p w:rsidR="00743870" w:rsidRPr="00743870" w:rsidRDefault="00743870" w:rsidP="00743870">
      <w:pPr>
        <w:numPr>
          <w:ilvl w:val="0"/>
          <w:numId w:val="4"/>
        </w:numPr>
        <w:spacing w:before="100" w:beforeAutospacing="1" w:after="100" w:afterAutospacing="1" w:line="200" w:lineRule="atLeast"/>
        <w:ind w:left="0"/>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заполненное родителями информированное добровольное согласие на медицинское вмешательство.</w:t>
      </w:r>
    </w:p>
    <w:p w:rsidR="00743870" w:rsidRPr="00743870" w:rsidRDefault="00743870" w:rsidP="00743870">
      <w:pPr>
        <w:spacing w:line="200" w:lineRule="atLeast"/>
        <w:jc w:val="both"/>
        <w:rPr>
          <w:rFonts w:ascii="Helvetica" w:eastAsia="Times New Roman" w:hAnsi="Helvetica" w:cs="Helvetica"/>
          <w:color w:val="000000"/>
          <w:sz w:val="14"/>
          <w:szCs w:val="14"/>
          <w:lang w:eastAsia="ru-RU"/>
        </w:rPr>
      </w:pPr>
      <w:r w:rsidRPr="00743870">
        <w:rPr>
          <w:rFonts w:ascii="Helvetica" w:eastAsia="Times New Roman" w:hAnsi="Helvetica" w:cs="Helvetica"/>
          <w:color w:val="000000"/>
          <w:sz w:val="14"/>
          <w:szCs w:val="14"/>
          <w:lang w:eastAsia="ru-RU"/>
        </w:rPr>
        <w:t>Информированное добровольное согласие на медицинское вмешательство является обязательным медицинским документом, поэтому без него документы приниматься не будут. Бланк информированного добровольного согласия на медицинское вмешательство находится на официальном сайте ФГБОУ «МДЦ «Артек» в разделе «Медицинские требования».</w:t>
      </w:r>
    </w:p>
    <w:p w:rsidR="00873BA6" w:rsidRDefault="00873BA6"/>
    <w:sectPr w:rsidR="00873BA6" w:rsidSect="00873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59B0"/>
    <w:multiLevelType w:val="multilevel"/>
    <w:tmpl w:val="E5F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001E2"/>
    <w:multiLevelType w:val="multilevel"/>
    <w:tmpl w:val="ABE0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2A661F"/>
    <w:multiLevelType w:val="multilevel"/>
    <w:tmpl w:val="FEF4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F325B"/>
    <w:multiLevelType w:val="multilevel"/>
    <w:tmpl w:val="009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43870"/>
    <w:rsid w:val="00743870"/>
    <w:rsid w:val="0087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A6"/>
  </w:style>
  <w:style w:type="paragraph" w:styleId="1">
    <w:name w:val="heading 1"/>
    <w:basedOn w:val="a"/>
    <w:link w:val="10"/>
    <w:uiPriority w:val="9"/>
    <w:qFormat/>
    <w:rsid w:val="007438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438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87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438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3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3870"/>
    <w:rPr>
      <w:b/>
      <w:bCs/>
    </w:rPr>
  </w:style>
  <w:style w:type="character" w:styleId="a5">
    <w:name w:val="Hyperlink"/>
    <w:basedOn w:val="a0"/>
    <w:uiPriority w:val="99"/>
    <w:semiHidden/>
    <w:unhideWhenUsed/>
    <w:rsid w:val="00743870"/>
    <w:rPr>
      <w:color w:val="0000FF"/>
      <w:u w:val="single"/>
    </w:rPr>
  </w:style>
  <w:style w:type="character" w:customStyle="1" w:styleId="apple-converted-space">
    <w:name w:val="apple-converted-space"/>
    <w:basedOn w:val="a0"/>
    <w:rsid w:val="00743870"/>
  </w:style>
</w:styles>
</file>

<file path=word/webSettings.xml><?xml version="1.0" encoding="utf-8"?>
<w:webSettings xmlns:r="http://schemas.openxmlformats.org/officeDocument/2006/relationships" xmlns:w="http://schemas.openxmlformats.org/wordprocessingml/2006/main">
  <w:divs>
    <w:div w:id="764616739">
      <w:bodyDiv w:val="1"/>
      <w:marLeft w:val="0"/>
      <w:marRight w:val="0"/>
      <w:marTop w:val="0"/>
      <w:marBottom w:val="0"/>
      <w:divBdr>
        <w:top w:val="none" w:sz="0" w:space="0" w:color="auto"/>
        <w:left w:val="none" w:sz="0" w:space="0" w:color="auto"/>
        <w:bottom w:val="none" w:sz="0" w:space="0" w:color="auto"/>
        <w:right w:val="none" w:sz="0" w:space="0" w:color="auto"/>
      </w:divBdr>
      <w:divsChild>
        <w:div w:id="4746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viewer?url=http://artek.org/media/uploads/informaciya-dlya-roditelyay/dobrovolnoe-soglasi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viewer?url=http://artek.org/media/uploads/Informaciya%20dla%20roditeley/%D0%B7%D0%B0%D0%BF%D0%BE%D0%BB%D0%BD%D0%B5%D0%BD%D0%BD%D0%B0%D1%8F%20%D0%BC%D0%B5%D0%B4%D0%BA%D0%B0%D1%80%D1%82%D0%B0.docx" TargetMode="External"/><Relationship Id="rId5" Type="http://schemas.openxmlformats.org/officeDocument/2006/relationships/hyperlink" Target="https://docs.google.com/viewer?url=http://artek.org/media/uploads/Informaciya%20dla%20roditeley/%D0%9C%D0%B5%D0%B4.%D0%BA%D0%B0%D1%80%D1%82%D0%B0%20%282%29.r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Company>Microsoft</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2016-04-22T01:02:00Z</dcterms:created>
  <dcterms:modified xsi:type="dcterms:W3CDTF">2016-04-22T01:03:00Z</dcterms:modified>
</cp:coreProperties>
</file>